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9B6E69" w:rsidRPr="00BE0D96" w:rsidRDefault="00066576" w:rsidP="00123085">
      <w:pPr>
        <w:jc w:val="both"/>
        <w:rPr>
          <w:rStyle w:val="BLOCKBOLD"/>
          <w:rFonts w:ascii="Calibri" w:hAnsi="Calibri"/>
          <w:color w:val="0000FF"/>
        </w:rPr>
      </w:pPr>
      <w:r w:rsidRPr="00066576">
        <w:rPr>
          <w:rStyle w:val="BLOCKBOLD"/>
          <w:rFonts w:ascii="Calibri" w:hAnsi="Calibri"/>
        </w:rPr>
        <w:t xml:space="preserve">Procedura negoziata previa consultazione da indagine di mercato </w:t>
      </w:r>
      <w:r w:rsidR="00A007BF" w:rsidRPr="00A007BF">
        <w:rPr>
          <w:rStyle w:val="BLOCKBOLD"/>
          <w:rFonts w:ascii="Calibri" w:hAnsi="Calibri"/>
        </w:rPr>
        <w:t xml:space="preserve">ai sensi dell’art. 36 co. </w:t>
      </w:r>
      <w:r w:rsidR="00497CDB">
        <w:rPr>
          <w:rStyle w:val="BLOCKBOLD"/>
          <w:rFonts w:ascii="Calibri" w:hAnsi="Calibri"/>
        </w:rPr>
        <w:t>xx</w:t>
      </w:r>
      <w:r w:rsidR="00A007BF" w:rsidRPr="00A007BF">
        <w:rPr>
          <w:rStyle w:val="BLOCKBOLD"/>
          <w:rFonts w:ascii="Calibri" w:hAnsi="Calibri"/>
        </w:rPr>
        <w:t xml:space="preserve"> lett. </w:t>
      </w:r>
      <w:r w:rsidR="00497CDB">
        <w:rPr>
          <w:rStyle w:val="BLOCKBOLD"/>
          <w:rFonts w:ascii="Calibri" w:hAnsi="Calibri"/>
        </w:rPr>
        <w:t>x</w:t>
      </w:r>
      <w:r w:rsidR="00A007BF" w:rsidRPr="00A007BF">
        <w:rPr>
          <w:rStyle w:val="BLOCKBOLD"/>
          <w:rFonts w:ascii="Calibri" w:hAnsi="Calibri"/>
        </w:rPr>
        <w:t xml:space="preserve">) D.lgs. 50/2016 </w:t>
      </w:r>
      <w:r>
        <w:rPr>
          <w:rStyle w:val="BLOCKBOLD"/>
          <w:rFonts w:ascii="Calibri" w:hAnsi="Calibri"/>
        </w:rPr>
        <w:t xml:space="preserve">PER SOGEI PER </w:t>
      </w:r>
      <w:r w:rsidR="002309DE">
        <w:rPr>
          <w:rStyle w:val="BLOCKBOLD"/>
          <w:rFonts w:ascii="Calibri" w:hAnsi="Calibri"/>
        </w:rPr>
        <w:t>“</w:t>
      </w:r>
      <w:r>
        <w:rPr>
          <w:rStyle w:val="BLOCKBOLD"/>
          <w:rFonts w:ascii="Calibri" w:hAnsi="Calibri"/>
        </w:rPr>
        <w:t xml:space="preserve">LA </w:t>
      </w:r>
      <w:r w:rsidRPr="00066576">
        <w:rPr>
          <w:rStyle w:val="BLOCKBOLD"/>
          <w:rFonts w:ascii="Calibri" w:hAnsi="Calibri"/>
        </w:rPr>
        <w:t xml:space="preserve">Fornitura di N. 15 gruppi di continuità – tipo convertibile </w:t>
      </w:r>
      <w:proofErr w:type="spellStart"/>
      <w:r w:rsidRPr="00066576">
        <w:rPr>
          <w:rStyle w:val="BLOCKBOLD"/>
          <w:rFonts w:ascii="Calibri" w:hAnsi="Calibri"/>
        </w:rPr>
        <w:t>tower</w:t>
      </w:r>
      <w:proofErr w:type="spellEnd"/>
      <w:r w:rsidRPr="00066576">
        <w:rPr>
          <w:rStyle w:val="BLOCKBOLD"/>
          <w:rFonts w:ascii="Calibri" w:hAnsi="Calibri"/>
        </w:rPr>
        <w:t>/</w:t>
      </w:r>
      <w:proofErr w:type="spellStart"/>
      <w:r w:rsidRPr="00066576">
        <w:rPr>
          <w:rStyle w:val="BLOCKBOLD"/>
          <w:rFonts w:ascii="Calibri" w:hAnsi="Calibri"/>
        </w:rPr>
        <w:t>rack</w:t>
      </w:r>
      <w:proofErr w:type="spellEnd"/>
      <w:r w:rsidRPr="00066576">
        <w:rPr>
          <w:rStyle w:val="BLOCKBOLD"/>
          <w:rFonts w:ascii="Calibri" w:hAnsi="Calibri"/>
        </w:rPr>
        <w:t xml:space="preserve"> e N. 27 gruppi di continuità - tipo </w:t>
      </w:r>
      <w:proofErr w:type="spellStart"/>
      <w:r w:rsidRPr="00066576">
        <w:rPr>
          <w:rStyle w:val="BLOCKBOLD"/>
          <w:rFonts w:ascii="Calibri" w:hAnsi="Calibri"/>
        </w:rPr>
        <w:t>tower</w:t>
      </w:r>
      <w:proofErr w:type="spellEnd"/>
      <w:r w:rsidRPr="00066576">
        <w:rPr>
          <w:rStyle w:val="BLOCKBOLD"/>
          <w:rFonts w:ascii="Calibri" w:hAnsi="Calibri"/>
        </w:rPr>
        <w:t>, e relativo servizio di manutenzione</w:t>
      </w:r>
      <w:r w:rsidR="002309DE">
        <w:rPr>
          <w:rStyle w:val="BLOCKBOLD"/>
          <w:rFonts w:ascii="Calibri" w:hAnsi="Calibri"/>
        </w:rPr>
        <w:t>”</w:t>
      </w:r>
      <w:bookmarkStart w:id="0" w:name="_GoBack"/>
      <w:bookmarkEnd w:id="0"/>
      <w:r w:rsidRPr="00066576">
        <w:rPr>
          <w:rStyle w:val="BLOCKBOLD"/>
          <w:rFonts w:ascii="Calibri" w:hAnsi="Calibri"/>
        </w:rPr>
        <w:t>.</w:t>
      </w:r>
      <w:r w:rsidR="00A007BF" w:rsidRPr="00A007BF">
        <w:rPr>
          <w:rStyle w:val="BLOCKBOLD"/>
          <w:rFonts w:ascii="Calibri" w:hAnsi="Calibri"/>
        </w:rPr>
        <w:t xml:space="preserve">   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</w:t>
      </w:r>
      <w:r w:rsidR="00295660">
        <w:rPr>
          <w:rStyle w:val="BLOCKBOLD"/>
          <w:rFonts w:ascii="Calibri" w:hAnsi="Calibri"/>
        </w:rPr>
        <w:t>T. 46, 47 E 76 DEL DPR 445/2000.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295660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95660">
      <w:rPr>
        <w:rFonts w:ascii="Calibri" w:hAnsi="Calibri"/>
        <w:sz w:val="18"/>
        <w:szCs w:val="18"/>
      </w:rPr>
      <w:t xml:space="preserve">PROCEDURA NEGOZIATA PREVIA CONSULTAZIONE DA INDAGINE DI MERCATO AI SENSI DELL’ART. 36 CO. XX LETT. X) D.LGS. 50/2016 </w:t>
    </w:r>
    <w:r>
      <w:rPr>
        <w:rFonts w:ascii="Calibri" w:hAnsi="Calibri"/>
        <w:sz w:val="18"/>
        <w:szCs w:val="18"/>
      </w:rPr>
      <w:t>PER SOGEI PER APPARATI DI CONTINUITA’ E MANUTENZIONE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66576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09DE"/>
    <w:rsid w:val="00234298"/>
    <w:rsid w:val="00260B94"/>
    <w:rsid w:val="002707C8"/>
    <w:rsid w:val="00270CA0"/>
    <w:rsid w:val="00273E9E"/>
    <w:rsid w:val="00284F76"/>
    <w:rsid w:val="0028761C"/>
    <w:rsid w:val="002946C5"/>
    <w:rsid w:val="00295660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96D9F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3D11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2020-02-11T14:08:00Z</dcterms:modified>
</cp:coreProperties>
</file>